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B3FC" w14:textId="425FB655" w:rsidR="00A75135" w:rsidRPr="009B404F" w:rsidRDefault="00E11A78" w:rsidP="00B11B19">
      <w:pPr>
        <w:jc w:val="center"/>
        <w:rPr>
          <w:rFonts w:asciiTheme="majorHAnsi" w:hAnsiTheme="majorHAnsi" w:cstheme="majorHAnsi"/>
          <w:b/>
          <w:bCs/>
          <w:sz w:val="24"/>
          <w:szCs w:val="24"/>
          <w:lang w:val="es-ES"/>
        </w:rPr>
      </w:pPr>
      <w:r w:rsidRPr="009B404F">
        <w:rPr>
          <w:rFonts w:asciiTheme="majorHAnsi" w:hAnsiTheme="majorHAnsi" w:cstheme="majorHAnsi"/>
          <w:b/>
          <w:bCs/>
          <w:sz w:val="24"/>
          <w:szCs w:val="24"/>
          <w:lang w:val="es-ES"/>
        </w:rPr>
        <w:t xml:space="preserve">AL AYUNTAMIENTO DE </w:t>
      </w:r>
      <w:r w:rsidR="00B11B19" w:rsidRPr="009B404F">
        <w:rPr>
          <w:rFonts w:asciiTheme="majorHAnsi" w:hAnsiTheme="majorHAnsi" w:cstheme="majorHAnsi"/>
          <w:b/>
          <w:bCs/>
          <w:sz w:val="24"/>
          <w:szCs w:val="24"/>
          <w:lang w:val="es-ES"/>
        </w:rPr>
        <w:t>TORRELODONES</w:t>
      </w:r>
      <w:r w:rsidRPr="009B404F">
        <w:rPr>
          <w:rFonts w:asciiTheme="majorHAnsi" w:hAnsiTheme="majorHAnsi" w:cstheme="majorHAnsi"/>
          <w:b/>
          <w:bCs/>
          <w:sz w:val="24"/>
          <w:szCs w:val="24"/>
          <w:lang w:val="es-ES"/>
        </w:rPr>
        <w:t xml:space="preserve"> (MADRID)</w:t>
      </w:r>
    </w:p>
    <w:p w14:paraId="746F98D7" w14:textId="16FFD43A" w:rsidR="00A75135" w:rsidRPr="009B404F" w:rsidRDefault="00036489" w:rsidP="00036489">
      <w:pPr>
        <w:jc w:val="both"/>
        <w:rPr>
          <w:rFonts w:asciiTheme="majorHAnsi" w:hAnsiTheme="majorHAnsi" w:cstheme="majorHAnsi"/>
          <w:b/>
          <w:bCs/>
          <w:sz w:val="24"/>
          <w:szCs w:val="24"/>
          <w:lang w:val="es-ES"/>
        </w:rPr>
      </w:pPr>
      <w:r w:rsidRPr="009B404F">
        <w:rPr>
          <w:rFonts w:asciiTheme="majorHAnsi" w:hAnsiTheme="majorHAnsi" w:cstheme="majorHAnsi"/>
          <w:b/>
          <w:bCs/>
          <w:sz w:val="24"/>
          <w:szCs w:val="24"/>
          <w:lang w:val="es-ES"/>
        </w:rPr>
        <w:t xml:space="preserve">D./Dª ______, </w:t>
      </w:r>
      <w:r w:rsidRPr="009B404F">
        <w:rPr>
          <w:rFonts w:asciiTheme="majorHAnsi" w:hAnsiTheme="majorHAnsi" w:cstheme="majorHAnsi"/>
          <w:sz w:val="24"/>
          <w:szCs w:val="24"/>
          <w:lang w:val="es-ES"/>
        </w:rPr>
        <w:t xml:space="preserve">mayor de edad, con domicilio a efectos de notificaciones en Torrelodones (28250-Madrid), Calle ______, actuando en su propio nombre y derecho, ante el Ayuntamiento de Torrelodones comparece y, como mejor proceda en </w:t>
      </w:r>
      <w:r w:rsidRPr="009B404F">
        <w:rPr>
          <w:rFonts w:asciiTheme="majorHAnsi" w:hAnsiTheme="majorHAnsi" w:cstheme="majorHAnsi"/>
          <w:sz w:val="24"/>
          <w:szCs w:val="24"/>
          <w:lang w:val="es-ES"/>
        </w:rPr>
        <w:t>Derecho,</w:t>
      </w:r>
      <w:r w:rsidRPr="009B404F">
        <w:rPr>
          <w:rFonts w:asciiTheme="majorHAnsi" w:hAnsiTheme="majorHAnsi" w:cstheme="majorHAnsi"/>
          <w:b/>
          <w:bCs/>
          <w:sz w:val="24"/>
          <w:szCs w:val="24"/>
          <w:lang w:val="es-ES"/>
        </w:rPr>
        <w:t xml:space="preserve"> DICE</w:t>
      </w:r>
    </w:p>
    <w:p w14:paraId="397D624C" w14:textId="465ECC59" w:rsidR="00CE6A48" w:rsidRPr="009B404F" w:rsidRDefault="009B3275" w:rsidP="00B11B19">
      <w:pPr>
        <w:jc w:val="both"/>
        <w:rPr>
          <w:rFonts w:asciiTheme="majorHAnsi" w:hAnsiTheme="majorHAnsi" w:cstheme="majorHAnsi"/>
          <w:sz w:val="24"/>
          <w:szCs w:val="24"/>
          <w:lang w:val="es-ES"/>
        </w:rPr>
      </w:pPr>
      <w:r w:rsidRPr="009B404F">
        <w:rPr>
          <w:rFonts w:asciiTheme="majorHAnsi" w:hAnsiTheme="majorHAnsi" w:cstheme="majorHAnsi"/>
          <w:b/>
          <w:bCs/>
          <w:sz w:val="24"/>
          <w:szCs w:val="24"/>
          <w:lang w:val="es-ES"/>
        </w:rPr>
        <w:t>PRIMERO. -</w:t>
      </w:r>
      <w:r w:rsidR="00E11A78" w:rsidRPr="009B404F">
        <w:rPr>
          <w:rFonts w:asciiTheme="majorHAnsi" w:hAnsiTheme="majorHAnsi" w:cstheme="majorHAnsi"/>
          <w:sz w:val="24"/>
          <w:szCs w:val="24"/>
          <w:lang w:val="es-ES"/>
        </w:rPr>
        <w:t xml:space="preserve"> </w:t>
      </w:r>
      <w:r w:rsidR="00CE6A48" w:rsidRPr="009B404F">
        <w:rPr>
          <w:rFonts w:asciiTheme="majorHAnsi" w:hAnsiTheme="majorHAnsi" w:cstheme="majorHAnsi"/>
          <w:sz w:val="24"/>
          <w:szCs w:val="24"/>
          <w:lang w:val="es-ES"/>
        </w:rPr>
        <w:t>Que le ha sido notificada liquidación de la Tasa por la prestación del servicio de recogida y gestión de residuos sólidos urbanos, girada al amparo de la Ordenanza fiscal nº 8 reguladora de la Tasa por la Prestación del Servicio de Recogida y Tratamiento de Residuos</w:t>
      </w:r>
      <w:r w:rsidR="00F25536">
        <w:rPr>
          <w:rFonts w:asciiTheme="majorHAnsi" w:hAnsiTheme="majorHAnsi" w:cstheme="majorHAnsi"/>
          <w:sz w:val="24"/>
          <w:szCs w:val="24"/>
          <w:lang w:val="es-ES"/>
        </w:rPr>
        <w:t xml:space="preserve"> </w:t>
      </w:r>
      <w:r w:rsidR="00F25536">
        <w:rPr>
          <w:rFonts w:asciiTheme="majorHAnsi" w:hAnsiTheme="majorHAnsi" w:cstheme="majorHAnsi"/>
          <w:b/>
          <w:bCs/>
          <w:sz w:val="24"/>
          <w:szCs w:val="24"/>
          <w:lang w:val="es-ES"/>
        </w:rPr>
        <w:t>(Adjunto copia)</w:t>
      </w:r>
      <w:r w:rsidR="00CE6A48" w:rsidRPr="009B404F">
        <w:rPr>
          <w:rFonts w:asciiTheme="majorHAnsi" w:hAnsiTheme="majorHAnsi" w:cstheme="majorHAnsi"/>
          <w:sz w:val="24"/>
          <w:szCs w:val="24"/>
          <w:lang w:val="es-ES"/>
        </w:rPr>
        <w:t>.</w:t>
      </w:r>
    </w:p>
    <w:p w14:paraId="348FDBE7" w14:textId="77777777" w:rsidR="00CE6A48" w:rsidRPr="009B404F" w:rsidRDefault="009B3275" w:rsidP="00CE6A48">
      <w:pPr>
        <w:jc w:val="both"/>
        <w:rPr>
          <w:rFonts w:asciiTheme="majorHAnsi" w:hAnsiTheme="majorHAnsi" w:cstheme="majorHAnsi"/>
          <w:sz w:val="24"/>
          <w:szCs w:val="24"/>
          <w:lang w:val="es-ES"/>
        </w:rPr>
      </w:pPr>
      <w:r w:rsidRPr="009B404F">
        <w:rPr>
          <w:rFonts w:asciiTheme="majorHAnsi" w:hAnsiTheme="majorHAnsi" w:cstheme="majorHAnsi"/>
          <w:b/>
          <w:bCs/>
          <w:sz w:val="24"/>
          <w:szCs w:val="24"/>
          <w:lang w:val="es-ES"/>
        </w:rPr>
        <w:t>SEGUNDO. -</w:t>
      </w:r>
      <w:r w:rsidR="00E11A78" w:rsidRPr="009B404F">
        <w:rPr>
          <w:rFonts w:asciiTheme="majorHAnsi" w:hAnsiTheme="majorHAnsi" w:cstheme="majorHAnsi"/>
          <w:b/>
          <w:bCs/>
          <w:sz w:val="24"/>
          <w:szCs w:val="24"/>
          <w:lang w:val="es-ES"/>
        </w:rPr>
        <w:t xml:space="preserve"> </w:t>
      </w:r>
      <w:r w:rsidR="00CE6A48" w:rsidRPr="009B404F">
        <w:rPr>
          <w:rFonts w:asciiTheme="majorHAnsi" w:hAnsiTheme="majorHAnsi" w:cstheme="majorHAnsi"/>
          <w:sz w:val="24"/>
          <w:szCs w:val="24"/>
          <w:lang w:val="es-ES"/>
        </w:rPr>
        <w:t xml:space="preserve">Que, no estando conforme con dicha liquidación, y al amparo de los artículos 222 y siguientes de la Ley General Tributaria y 14 del Texto Refundido de la Ley Reguladora de las Haciendas Locales, formula </w:t>
      </w:r>
      <w:r w:rsidR="00CE6A48" w:rsidRPr="009B404F">
        <w:rPr>
          <w:rFonts w:asciiTheme="majorHAnsi" w:hAnsiTheme="majorHAnsi" w:cstheme="majorHAnsi"/>
          <w:b/>
          <w:bCs/>
          <w:sz w:val="24"/>
          <w:szCs w:val="24"/>
          <w:lang w:val="es-ES"/>
        </w:rPr>
        <w:t>RECURSO DE REPOSICIÓN</w:t>
      </w:r>
      <w:r w:rsidR="00CE6A48" w:rsidRPr="009B404F">
        <w:rPr>
          <w:rFonts w:asciiTheme="majorHAnsi" w:hAnsiTheme="majorHAnsi" w:cstheme="majorHAnsi"/>
          <w:sz w:val="24"/>
          <w:szCs w:val="24"/>
          <w:lang w:val="es-ES"/>
        </w:rPr>
        <w:t>, con base en las siguientes:</w:t>
      </w:r>
    </w:p>
    <w:p w14:paraId="23601D8E" w14:textId="29301484" w:rsidR="00A75135" w:rsidRPr="009B404F" w:rsidRDefault="00E11A78" w:rsidP="00CE6A48">
      <w:pPr>
        <w:jc w:val="center"/>
        <w:rPr>
          <w:rFonts w:asciiTheme="majorHAnsi" w:hAnsiTheme="majorHAnsi" w:cstheme="majorHAnsi"/>
          <w:b/>
          <w:bCs/>
          <w:sz w:val="24"/>
          <w:szCs w:val="24"/>
          <w:lang w:val="es-ES"/>
        </w:rPr>
      </w:pPr>
      <w:r w:rsidRPr="009B404F">
        <w:rPr>
          <w:rFonts w:asciiTheme="majorHAnsi" w:hAnsiTheme="majorHAnsi" w:cstheme="majorHAnsi"/>
          <w:b/>
          <w:bCs/>
          <w:sz w:val="24"/>
          <w:szCs w:val="24"/>
          <w:lang w:val="es-ES"/>
        </w:rPr>
        <w:t>ALEGACIONES</w:t>
      </w:r>
    </w:p>
    <w:p w14:paraId="61A89E8D" w14:textId="14D7A185" w:rsidR="00A75135" w:rsidRPr="009B404F" w:rsidRDefault="00835053" w:rsidP="00B11B19">
      <w:pPr>
        <w:jc w:val="both"/>
        <w:rPr>
          <w:rFonts w:asciiTheme="majorHAnsi" w:hAnsiTheme="majorHAnsi" w:cstheme="majorHAnsi"/>
          <w:b/>
          <w:bCs/>
          <w:sz w:val="24"/>
          <w:szCs w:val="24"/>
          <w:lang w:val="es-ES"/>
        </w:rPr>
      </w:pPr>
      <w:r w:rsidRPr="009B404F">
        <w:rPr>
          <w:rFonts w:asciiTheme="majorHAnsi" w:hAnsiTheme="majorHAnsi" w:cstheme="majorHAnsi"/>
          <w:b/>
          <w:bCs/>
          <w:sz w:val="24"/>
          <w:szCs w:val="24"/>
          <w:lang w:val="es-ES"/>
        </w:rPr>
        <w:t>PRIMERA. -</w:t>
      </w:r>
      <w:r w:rsidR="00E11A78" w:rsidRPr="009B404F">
        <w:rPr>
          <w:rFonts w:asciiTheme="majorHAnsi" w:hAnsiTheme="majorHAnsi" w:cstheme="majorHAnsi"/>
          <w:b/>
          <w:bCs/>
          <w:sz w:val="24"/>
          <w:szCs w:val="24"/>
          <w:lang w:val="es-ES"/>
        </w:rPr>
        <w:t xml:space="preserve"> INADECUADA CALIFICACIÓN JURÍDICA DE LA PRESTACIÓN.</w:t>
      </w:r>
    </w:p>
    <w:p w14:paraId="37F3AA3E" w14:textId="77777777" w:rsidR="00E221A1" w:rsidRPr="009B404F" w:rsidRDefault="00E221A1" w:rsidP="00E221A1">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El servicio de recogida y gestión de residuos sólidos urbanos se presta mediante gestión indirecta, lo que, conforme al artículo 20.6 del TRLHL, impide su calificación como tasa, debiendo configurarse como prestación patrimonial de carácter público no tributaria.</w:t>
      </w:r>
    </w:p>
    <w:p w14:paraId="652DA57F" w14:textId="77777777" w:rsidR="00E221A1" w:rsidRPr="009B404F" w:rsidRDefault="00E221A1" w:rsidP="00E221A1">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De acuerdo con lo anterior, la Ordenanza fiscal nº 8 reguladora de la Tasa por la Prestación del Servicio de Recogida y Tratamiento de Residuos incurre en un vicio invalidante, conforme a la doctrina reiterada del Tribunal Supremo (SSTS de 23/06/2020, 23/06/2021 y 11/12/2024).</w:t>
      </w:r>
    </w:p>
    <w:p w14:paraId="55247568" w14:textId="77777777" w:rsidR="00E221A1" w:rsidRPr="009B404F" w:rsidRDefault="00E221A1" w:rsidP="00E221A1">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La incorrecta calificación ha determinado, además, la utilización de un procedimiento inadecuado para la aprobación de la norma, lo que comporta la nulidad de la Ordenanza fiscal y de los actos dictados en su aplicación.</w:t>
      </w:r>
    </w:p>
    <w:p w14:paraId="396B2C31" w14:textId="612EA2B2" w:rsidR="00001E3B" w:rsidRPr="009B404F" w:rsidRDefault="00835053" w:rsidP="00E221A1">
      <w:pPr>
        <w:jc w:val="both"/>
        <w:rPr>
          <w:rFonts w:asciiTheme="majorHAnsi" w:hAnsiTheme="majorHAnsi" w:cstheme="majorHAnsi"/>
          <w:b/>
          <w:bCs/>
          <w:sz w:val="24"/>
          <w:szCs w:val="24"/>
          <w:lang w:val="es-ES"/>
        </w:rPr>
      </w:pPr>
      <w:r w:rsidRPr="009B404F">
        <w:rPr>
          <w:rFonts w:asciiTheme="majorHAnsi" w:hAnsiTheme="majorHAnsi" w:cstheme="majorHAnsi"/>
          <w:b/>
          <w:bCs/>
          <w:sz w:val="24"/>
          <w:szCs w:val="24"/>
          <w:lang w:val="es-ES"/>
        </w:rPr>
        <w:t>SEGUNDA. -</w:t>
      </w:r>
      <w:r w:rsidR="00001E3B" w:rsidRPr="009B404F">
        <w:rPr>
          <w:rFonts w:asciiTheme="majorHAnsi" w:hAnsiTheme="majorHAnsi" w:cstheme="majorHAnsi"/>
          <w:b/>
          <w:bCs/>
          <w:sz w:val="24"/>
          <w:szCs w:val="24"/>
          <w:lang w:val="es-ES"/>
        </w:rPr>
        <w:t xml:space="preserve"> </w:t>
      </w:r>
      <w:r w:rsidR="00233BD5" w:rsidRPr="009B404F">
        <w:rPr>
          <w:rFonts w:asciiTheme="majorHAnsi" w:hAnsiTheme="majorHAnsi" w:cstheme="majorHAnsi"/>
          <w:b/>
          <w:bCs/>
          <w:sz w:val="24"/>
          <w:szCs w:val="24"/>
          <w:lang w:val="es-ES"/>
        </w:rPr>
        <w:t>INCUMPLIMIENTO DEL PRINCIPIO DE “PAGO POR GENERACIÓN” (ART. 11 LEY 7/2022)</w:t>
      </w:r>
      <w:r w:rsidR="00432FB8" w:rsidRPr="009B404F">
        <w:rPr>
          <w:rFonts w:asciiTheme="majorHAnsi" w:hAnsiTheme="majorHAnsi" w:cstheme="majorHAnsi"/>
          <w:b/>
          <w:bCs/>
          <w:sz w:val="24"/>
          <w:szCs w:val="24"/>
          <w:lang w:val="es-ES"/>
        </w:rPr>
        <w:t>, VULNERACIÓN DEL PRINCIPIO DE LEGALIDAD TRIBUTARIA</w:t>
      </w:r>
      <w:r w:rsidR="008B564A" w:rsidRPr="009B404F">
        <w:rPr>
          <w:rFonts w:asciiTheme="majorHAnsi" w:hAnsiTheme="majorHAnsi" w:cstheme="majorHAnsi"/>
          <w:b/>
          <w:bCs/>
          <w:sz w:val="24"/>
          <w:szCs w:val="24"/>
          <w:lang w:val="es-ES"/>
        </w:rPr>
        <w:t xml:space="preserve"> Y DEL</w:t>
      </w:r>
      <w:r w:rsidR="008B564A" w:rsidRPr="009B404F">
        <w:rPr>
          <w:rFonts w:asciiTheme="majorHAnsi" w:hAnsiTheme="majorHAnsi" w:cstheme="majorHAnsi"/>
          <w:sz w:val="24"/>
          <w:szCs w:val="24"/>
          <w:lang w:val="es-ES"/>
        </w:rPr>
        <w:t xml:space="preserve"> </w:t>
      </w:r>
      <w:r w:rsidR="008B564A" w:rsidRPr="009B404F">
        <w:rPr>
          <w:rFonts w:asciiTheme="majorHAnsi" w:hAnsiTheme="majorHAnsi" w:cstheme="majorHAnsi"/>
          <w:b/>
          <w:bCs/>
          <w:sz w:val="24"/>
          <w:szCs w:val="24"/>
          <w:lang w:val="es-ES"/>
        </w:rPr>
        <w:t xml:space="preserve">DERECHO DE DEFENSA POR INDEFENSIÓN MATERIAL </w:t>
      </w:r>
    </w:p>
    <w:p w14:paraId="1703DE4E" w14:textId="77777777" w:rsidR="00DC22A8" w:rsidRPr="009B404F" w:rsidRDefault="00DC22A8" w:rsidP="00DC22A8">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La tasa recurrida no distribuye los costes</w:t>
      </w:r>
      <w:r w:rsidRPr="009B404F">
        <w:rPr>
          <w:rFonts w:asciiTheme="majorHAnsi" w:hAnsiTheme="majorHAnsi" w:cstheme="majorHAnsi"/>
          <w:sz w:val="24"/>
          <w:szCs w:val="24"/>
          <w:lang w:val="es-ES"/>
        </w:rPr>
        <w:t xml:space="preserve"> </w:t>
      </w:r>
      <w:r w:rsidRPr="009B404F">
        <w:rPr>
          <w:rFonts w:asciiTheme="majorHAnsi" w:hAnsiTheme="majorHAnsi" w:cstheme="majorHAnsi"/>
          <w:sz w:val="24"/>
          <w:szCs w:val="24"/>
          <w:lang w:val="es-ES"/>
        </w:rPr>
        <w:t>conforme a la generación real de residuos ni al comportamiento individual del contribuyente, vulnerando tanto el mandato legal como la normativa europea en materia de economía circular.</w:t>
      </w:r>
    </w:p>
    <w:p w14:paraId="5CC8DF2C" w14:textId="110C1164" w:rsidR="00DC22A8" w:rsidRPr="009B404F" w:rsidRDefault="00DC22A8" w:rsidP="00DC22A8">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lastRenderedPageBreak/>
        <w:t>En efecto, la Ley 7/2022 exige que las entidades locales establezcan una tasa que permita implantar sistemas de pago por generación, que refleje el coste real del servicio y que respete el principio de “quien contamina paga”.</w:t>
      </w:r>
    </w:p>
    <w:p w14:paraId="5AD85A46" w14:textId="77777777" w:rsidR="00DC22A8" w:rsidRPr="009B404F" w:rsidRDefault="00DC22A8" w:rsidP="00DC22A8">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Sin embargo, la Ordenanza fiscal nº 8 no mide la generación real de residuos, no identifica al generador individual ni vincula la cuota a los residuos efectivamente producidos, utilizando, en su lugar, criterios indirectos como el valor catastral, el empadronamiento o la superficie del inmueble.</w:t>
      </w:r>
    </w:p>
    <w:p w14:paraId="1D64F265" w14:textId="77777777" w:rsidR="00DC22A8" w:rsidRPr="009B404F" w:rsidRDefault="00DC22A8" w:rsidP="00DC22A8">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Asimismo, la Ordenanza no contiene todos los elementos esenciales de cuantificación, remite a documentos técnicos externos y no incorpora la metodología de cálculo, lo que supone una vulneración del principio de reserva de ley, genera indefinición del tributo y provoca una evidente inseguridad jurídica.</w:t>
      </w:r>
    </w:p>
    <w:p w14:paraId="43CB0AA6" w14:textId="77777777" w:rsidR="00DC22A8" w:rsidRPr="009B404F" w:rsidRDefault="00DC22A8" w:rsidP="00DC22A8">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En consecuencia, se produce una ausencia total de correlación entre generación y pago, lo que determina una vulneración directa del artículo 11 de la Ley 7/2022.</w:t>
      </w:r>
    </w:p>
    <w:p w14:paraId="24729B3E" w14:textId="27D3CD41" w:rsidR="00EA019C" w:rsidRPr="009B404F" w:rsidRDefault="00DC22A8" w:rsidP="00DC22A8">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Todo ello impide al contribuyente conocer cómo se calcula su cuota, verificar los datos utilizados o impugnar los criterios técnicos empleados, generándose una situación de indefensión material contraria a lo dispuesto en el artículo 105 de la Constitución Española.</w:t>
      </w:r>
      <w:r w:rsidR="00EA019C" w:rsidRPr="009B404F">
        <w:rPr>
          <w:rFonts w:asciiTheme="majorHAnsi" w:hAnsiTheme="majorHAnsi" w:cstheme="majorHAnsi"/>
          <w:sz w:val="24"/>
          <w:szCs w:val="24"/>
          <w:lang w:val="es-ES"/>
        </w:rPr>
        <w:tab/>
      </w:r>
    </w:p>
    <w:p w14:paraId="63C4E154" w14:textId="7FF121D6" w:rsidR="00CE35B0" w:rsidRPr="009B404F" w:rsidRDefault="00835053" w:rsidP="009D1BC9">
      <w:pPr>
        <w:jc w:val="both"/>
        <w:rPr>
          <w:rFonts w:asciiTheme="majorHAnsi" w:hAnsiTheme="majorHAnsi" w:cstheme="majorHAnsi"/>
          <w:b/>
          <w:bCs/>
          <w:sz w:val="24"/>
          <w:szCs w:val="24"/>
          <w:lang w:val="es-ES"/>
        </w:rPr>
      </w:pPr>
      <w:r w:rsidRPr="009B404F">
        <w:rPr>
          <w:rFonts w:asciiTheme="majorHAnsi" w:hAnsiTheme="majorHAnsi" w:cstheme="majorHAnsi"/>
          <w:b/>
          <w:bCs/>
          <w:sz w:val="24"/>
          <w:szCs w:val="24"/>
          <w:lang w:val="es-ES"/>
        </w:rPr>
        <w:t>TERCERA. -</w:t>
      </w:r>
      <w:r w:rsidR="0050374C" w:rsidRPr="009B404F">
        <w:rPr>
          <w:rFonts w:asciiTheme="majorHAnsi" w:hAnsiTheme="majorHAnsi" w:cstheme="majorHAnsi"/>
          <w:b/>
          <w:bCs/>
          <w:sz w:val="24"/>
          <w:szCs w:val="24"/>
          <w:lang w:val="es-ES"/>
        </w:rPr>
        <w:t xml:space="preserve"> </w:t>
      </w:r>
      <w:r w:rsidR="00CE35B0" w:rsidRPr="009B404F">
        <w:rPr>
          <w:rFonts w:asciiTheme="majorHAnsi" w:hAnsiTheme="majorHAnsi" w:cstheme="majorHAnsi"/>
          <w:b/>
          <w:bCs/>
          <w:sz w:val="24"/>
          <w:szCs w:val="24"/>
          <w:lang w:val="es-ES"/>
        </w:rPr>
        <w:t>INSUFICIENCIA DEL INFORME TÉCNICO-ECONÓMICO (ART. 25 TRLHL)</w:t>
      </w:r>
    </w:p>
    <w:p w14:paraId="73AA4E03" w14:textId="77777777" w:rsidR="004F752A" w:rsidRPr="009B404F" w:rsidRDefault="004F752A" w:rsidP="004F752A">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El artículo 25 del TRLHL exige que el establecimiento de la tasa se fundamente en un informe técnico-económico que permita conocer el coste del servicio, justificar los criterios de cuantificación y controlar la racionalidad del cálculo.</w:t>
      </w:r>
    </w:p>
    <w:p w14:paraId="27E4E769" w14:textId="77777777" w:rsidR="004F752A" w:rsidRPr="009B404F" w:rsidRDefault="004F752A" w:rsidP="004F752A">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Sin embargo, en el presente caso, el informe se limita a cuantificar el coste global del servicio, sin explicar el método de asignación individual de residuos ni permitir la reconstrucción del cálculo de la cuota.</w:t>
      </w:r>
    </w:p>
    <w:p w14:paraId="157DAE3D" w14:textId="77777777" w:rsidR="004F752A" w:rsidRPr="009B404F" w:rsidRDefault="004F752A" w:rsidP="004F752A">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Esta carencia impide verificar la proporcionalidad de la tasa y, en consecuencia, limita el ejercicio del derecho de defensa, generando una situación de indefensión material contraria al artículo 105 de la Constitución.</w:t>
      </w:r>
    </w:p>
    <w:p w14:paraId="04EF18C1" w14:textId="57965CA7" w:rsidR="00A75135" w:rsidRPr="009B404F" w:rsidRDefault="009D1BC9" w:rsidP="004F752A">
      <w:pPr>
        <w:jc w:val="both"/>
        <w:rPr>
          <w:rFonts w:asciiTheme="majorHAnsi" w:hAnsiTheme="majorHAnsi" w:cstheme="majorHAnsi"/>
          <w:b/>
          <w:bCs/>
          <w:sz w:val="24"/>
          <w:szCs w:val="24"/>
          <w:lang w:val="es-ES"/>
        </w:rPr>
      </w:pPr>
      <w:r w:rsidRPr="009B404F">
        <w:rPr>
          <w:rFonts w:asciiTheme="majorHAnsi" w:hAnsiTheme="majorHAnsi" w:cstheme="majorHAnsi"/>
          <w:b/>
          <w:bCs/>
          <w:sz w:val="24"/>
          <w:szCs w:val="24"/>
          <w:lang w:val="es-ES"/>
        </w:rPr>
        <w:t>CUARTA. -</w:t>
      </w:r>
      <w:r w:rsidR="00E11A78" w:rsidRPr="009B404F">
        <w:rPr>
          <w:rFonts w:asciiTheme="majorHAnsi" w:hAnsiTheme="majorHAnsi" w:cstheme="majorHAnsi"/>
          <w:b/>
          <w:bCs/>
          <w:sz w:val="24"/>
          <w:szCs w:val="24"/>
          <w:lang w:val="es-ES"/>
        </w:rPr>
        <w:t xml:space="preserve"> </w:t>
      </w:r>
      <w:r w:rsidR="00575708" w:rsidRPr="009B404F">
        <w:rPr>
          <w:rFonts w:asciiTheme="majorHAnsi" w:hAnsiTheme="majorHAnsi" w:cstheme="majorHAnsi"/>
          <w:b/>
          <w:bCs/>
          <w:sz w:val="24"/>
          <w:szCs w:val="24"/>
          <w:lang w:val="es-ES"/>
        </w:rPr>
        <w:t>INDEBIDA REPERCUSIÓN A LOS CONTRIBUYENTES DE COSTES NO IMPUTABLES (13,2%</w:t>
      </w:r>
      <w:r w:rsidR="004F752A" w:rsidRPr="009B404F">
        <w:rPr>
          <w:rFonts w:asciiTheme="majorHAnsi" w:hAnsiTheme="majorHAnsi" w:cstheme="majorHAnsi"/>
          <w:b/>
          <w:bCs/>
          <w:sz w:val="24"/>
          <w:szCs w:val="24"/>
          <w:lang w:val="es-ES"/>
        </w:rPr>
        <w:t xml:space="preserve"> APROXIMADAMENTE GENERADO POR EL PROPIO AYUNTAMIENTO</w:t>
      </w:r>
      <w:r w:rsidR="00575708" w:rsidRPr="009B404F">
        <w:rPr>
          <w:rFonts w:asciiTheme="majorHAnsi" w:hAnsiTheme="majorHAnsi" w:cstheme="majorHAnsi"/>
          <w:b/>
          <w:bCs/>
          <w:sz w:val="24"/>
          <w:szCs w:val="24"/>
          <w:lang w:val="es-ES"/>
        </w:rPr>
        <w:t>)</w:t>
      </w:r>
    </w:p>
    <w:p w14:paraId="323D060F" w14:textId="77777777" w:rsidR="00B71623" w:rsidRPr="009B404F" w:rsidRDefault="00B71623" w:rsidP="00B71623">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lastRenderedPageBreak/>
        <w:t>Del propio estudio económico municipal resulta acreditado que el Ayuntamiento de Torrelodones genera aproximadamente un 13,2% de los residuos totales, habiéndose cuantificado dicho coste e integrado en el coste total del servicio.</w:t>
      </w:r>
    </w:p>
    <w:p w14:paraId="22C2002D" w14:textId="77777777" w:rsidR="00B71623" w:rsidRPr="009B404F" w:rsidRDefault="00B71623" w:rsidP="00B71623">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Sin embargo, ese porcentaje de residuos generados por la propia Administración no se excluye, no se corrige ni se asume directamente por el Ayuntamiento.</w:t>
      </w:r>
    </w:p>
    <w:p w14:paraId="589C5A17" w14:textId="77777777" w:rsidR="00B71623" w:rsidRPr="009B404F" w:rsidRDefault="00B71623" w:rsidP="00B71623">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En consecuencia, el sistema de cálculo de la tasa determina que los contribuyentes soportan parte del coste correspondiente a residuos generados por la propia Administración municipal.</w:t>
      </w:r>
    </w:p>
    <w:p w14:paraId="4166FDC1" w14:textId="77777777" w:rsidR="00B71623" w:rsidRPr="009B404F" w:rsidRDefault="00B71623" w:rsidP="00B71623">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Ello supone la vulneración del principio de equivalencia (art. 24 TRLHL) y del principio de capacidad económica (art. 31 CE), al trasladar a los ciudadanos una carga económica que no deriva del uso individual del servicio.</w:t>
      </w:r>
    </w:p>
    <w:p w14:paraId="70F2CBF6" w14:textId="3B18E02C" w:rsidR="00CA1834" w:rsidRPr="009B404F" w:rsidRDefault="005B11B3" w:rsidP="00B71623">
      <w:pPr>
        <w:jc w:val="both"/>
        <w:rPr>
          <w:rFonts w:asciiTheme="majorHAnsi" w:hAnsiTheme="majorHAnsi" w:cstheme="majorHAnsi"/>
          <w:b/>
          <w:bCs/>
          <w:sz w:val="24"/>
          <w:szCs w:val="24"/>
          <w:lang w:val="es-ES"/>
        </w:rPr>
      </w:pPr>
      <w:r w:rsidRPr="009B404F">
        <w:rPr>
          <w:rFonts w:asciiTheme="majorHAnsi" w:hAnsiTheme="majorHAnsi" w:cstheme="majorHAnsi"/>
          <w:b/>
          <w:bCs/>
          <w:sz w:val="24"/>
          <w:szCs w:val="24"/>
          <w:lang w:val="es-ES"/>
        </w:rPr>
        <w:t>QUINTA. -</w:t>
      </w:r>
      <w:r w:rsidR="00CA1834" w:rsidRPr="009B404F">
        <w:rPr>
          <w:rFonts w:asciiTheme="majorHAnsi" w:hAnsiTheme="majorHAnsi" w:cstheme="majorHAnsi"/>
          <w:b/>
          <w:bCs/>
          <w:sz w:val="24"/>
          <w:szCs w:val="24"/>
          <w:lang w:val="es-ES"/>
        </w:rPr>
        <w:t xml:space="preserve"> DEFECTUOSA DETERMINACIÓN DEL PLAZO </w:t>
      </w:r>
      <w:r w:rsidR="000A2359">
        <w:rPr>
          <w:rFonts w:asciiTheme="majorHAnsi" w:hAnsiTheme="majorHAnsi" w:cstheme="majorHAnsi"/>
          <w:b/>
          <w:bCs/>
          <w:sz w:val="24"/>
          <w:szCs w:val="24"/>
          <w:lang w:val="es-ES"/>
        </w:rPr>
        <w:t xml:space="preserve">Y FORMA </w:t>
      </w:r>
      <w:r w:rsidR="00CA1834" w:rsidRPr="009B404F">
        <w:rPr>
          <w:rFonts w:asciiTheme="majorHAnsi" w:hAnsiTheme="majorHAnsi" w:cstheme="majorHAnsi"/>
          <w:b/>
          <w:bCs/>
          <w:sz w:val="24"/>
          <w:szCs w:val="24"/>
          <w:lang w:val="es-ES"/>
        </w:rPr>
        <w:t>DE PAGO</w:t>
      </w:r>
      <w:r w:rsidR="006D1F6D">
        <w:rPr>
          <w:rFonts w:asciiTheme="majorHAnsi" w:hAnsiTheme="majorHAnsi" w:cstheme="majorHAnsi"/>
          <w:b/>
          <w:bCs/>
          <w:sz w:val="24"/>
          <w:szCs w:val="24"/>
          <w:lang w:val="es-ES"/>
        </w:rPr>
        <w:t xml:space="preserve"> E IMPOSIBILIDAD DE </w:t>
      </w:r>
      <w:r w:rsidR="00E428EC">
        <w:rPr>
          <w:rFonts w:asciiTheme="majorHAnsi" w:hAnsiTheme="majorHAnsi" w:cstheme="majorHAnsi"/>
          <w:b/>
          <w:bCs/>
          <w:sz w:val="24"/>
          <w:szCs w:val="24"/>
          <w:lang w:val="es-ES"/>
        </w:rPr>
        <w:t>REALIZAR PAGO POR DOMICILIACIÓN BANCARIA</w:t>
      </w:r>
    </w:p>
    <w:p w14:paraId="58F05EA0" w14:textId="77777777" w:rsidR="00B81D0D" w:rsidRPr="00B81D0D" w:rsidRDefault="00B81D0D" w:rsidP="00B81D0D">
      <w:pPr>
        <w:jc w:val="both"/>
        <w:rPr>
          <w:rFonts w:asciiTheme="majorHAnsi" w:hAnsiTheme="majorHAnsi" w:cstheme="majorHAnsi"/>
          <w:sz w:val="24"/>
          <w:szCs w:val="24"/>
          <w:lang w:val="es-ES"/>
        </w:rPr>
      </w:pPr>
      <w:r w:rsidRPr="00B81D0D">
        <w:rPr>
          <w:rFonts w:asciiTheme="majorHAnsi" w:hAnsiTheme="majorHAnsi" w:cstheme="majorHAnsi"/>
          <w:sz w:val="24"/>
          <w:szCs w:val="24"/>
          <w:lang w:val="es-ES"/>
        </w:rPr>
        <w:t>La notificación de la liquidación establece dos fechas distintas e incompatibles entre sí como límite de pago. Por un lado, en el propio detalle de la liquidación se fija como fecha de vencimiento el 22/06/2026; por otro, en su reverso, en función de la fecha de recepción de la notificación, se contemplan plazos de pago diferentes.</w:t>
      </w:r>
    </w:p>
    <w:p w14:paraId="5B0A0A24" w14:textId="77777777" w:rsidR="00B81D0D" w:rsidRPr="00B81D0D" w:rsidRDefault="00B81D0D" w:rsidP="00B81D0D">
      <w:pPr>
        <w:jc w:val="both"/>
        <w:rPr>
          <w:rFonts w:asciiTheme="majorHAnsi" w:hAnsiTheme="majorHAnsi" w:cstheme="majorHAnsi"/>
          <w:sz w:val="24"/>
          <w:szCs w:val="24"/>
          <w:lang w:val="es-ES"/>
        </w:rPr>
      </w:pPr>
      <w:r w:rsidRPr="00B81D0D">
        <w:rPr>
          <w:rFonts w:asciiTheme="majorHAnsi" w:hAnsiTheme="majorHAnsi" w:cstheme="majorHAnsi"/>
          <w:sz w:val="24"/>
          <w:szCs w:val="24"/>
          <w:lang w:val="es-ES"/>
        </w:rPr>
        <w:t>El plazo de ingreso debe ser claro, único e inequívoco. La contradicción existente genera confusión y obliga al contribuyente a interpretar el contenido de la notificación, comprometiendo su derecho de defensa.</w:t>
      </w:r>
    </w:p>
    <w:p w14:paraId="04BAB5D5" w14:textId="77777777" w:rsidR="00B81D0D" w:rsidRPr="00B81D0D" w:rsidRDefault="00B81D0D" w:rsidP="00B81D0D">
      <w:pPr>
        <w:jc w:val="both"/>
        <w:rPr>
          <w:rFonts w:asciiTheme="majorHAnsi" w:hAnsiTheme="majorHAnsi" w:cstheme="majorHAnsi"/>
          <w:sz w:val="24"/>
          <w:szCs w:val="24"/>
          <w:lang w:val="es-ES"/>
        </w:rPr>
      </w:pPr>
      <w:r w:rsidRPr="00B81D0D">
        <w:rPr>
          <w:rFonts w:asciiTheme="majorHAnsi" w:hAnsiTheme="majorHAnsi" w:cstheme="majorHAnsi"/>
          <w:sz w:val="24"/>
          <w:szCs w:val="24"/>
          <w:lang w:val="es-ES"/>
        </w:rPr>
        <w:t>Lo anterior vulnera lo dispuesto en los artículos 62 y 102 de la Ley General Tributaria, así como el principio de seguridad jurídica consagrado en el artículo 9.3 de la Constitución.</w:t>
      </w:r>
    </w:p>
    <w:p w14:paraId="35A5487D" w14:textId="77777777" w:rsidR="00B81D0D" w:rsidRPr="00B81D0D" w:rsidRDefault="00B81D0D" w:rsidP="00B81D0D">
      <w:pPr>
        <w:jc w:val="both"/>
        <w:rPr>
          <w:rFonts w:asciiTheme="majorHAnsi" w:hAnsiTheme="majorHAnsi" w:cstheme="majorHAnsi"/>
          <w:sz w:val="24"/>
          <w:szCs w:val="24"/>
          <w:lang w:val="es-ES"/>
        </w:rPr>
      </w:pPr>
      <w:r w:rsidRPr="00B81D0D">
        <w:rPr>
          <w:rFonts w:asciiTheme="majorHAnsi" w:hAnsiTheme="majorHAnsi" w:cstheme="majorHAnsi"/>
          <w:sz w:val="24"/>
          <w:szCs w:val="24"/>
          <w:lang w:val="es-ES"/>
        </w:rPr>
        <w:t>A mayor abundamiento, para el presente ejercicio no se admite el pago mediante domiciliación bancaria.</w:t>
      </w:r>
    </w:p>
    <w:p w14:paraId="10FB7BCF" w14:textId="77777777" w:rsidR="00B81D0D" w:rsidRDefault="00B81D0D" w:rsidP="00B81D0D">
      <w:pPr>
        <w:jc w:val="both"/>
        <w:rPr>
          <w:rFonts w:asciiTheme="majorHAnsi" w:hAnsiTheme="majorHAnsi" w:cstheme="majorHAnsi"/>
          <w:sz w:val="24"/>
          <w:szCs w:val="24"/>
          <w:lang w:val="es-ES"/>
        </w:rPr>
      </w:pPr>
      <w:r w:rsidRPr="00B81D0D">
        <w:rPr>
          <w:rFonts w:asciiTheme="majorHAnsi" w:hAnsiTheme="majorHAnsi" w:cstheme="majorHAnsi"/>
          <w:sz w:val="24"/>
          <w:szCs w:val="24"/>
          <w:lang w:val="es-ES"/>
        </w:rPr>
        <w:t>En consecuencia, la liquidación carece de la necesaria claridad y debe ser anulada.</w:t>
      </w:r>
    </w:p>
    <w:p w14:paraId="1EE43F60" w14:textId="4DD57522" w:rsidR="00CF409D" w:rsidRPr="009B404F" w:rsidRDefault="00CF409D" w:rsidP="00B81D0D">
      <w:pPr>
        <w:jc w:val="both"/>
        <w:rPr>
          <w:rFonts w:asciiTheme="majorHAnsi" w:hAnsiTheme="majorHAnsi" w:cstheme="majorHAnsi"/>
          <w:b/>
          <w:bCs/>
          <w:sz w:val="24"/>
          <w:szCs w:val="24"/>
          <w:lang w:val="es-ES"/>
        </w:rPr>
      </w:pPr>
      <w:r w:rsidRPr="009B404F">
        <w:rPr>
          <w:rFonts w:asciiTheme="majorHAnsi" w:hAnsiTheme="majorHAnsi" w:cstheme="majorHAnsi"/>
          <w:b/>
          <w:bCs/>
          <w:sz w:val="24"/>
          <w:szCs w:val="24"/>
          <w:lang w:val="es-ES"/>
        </w:rPr>
        <w:t>SEXTA. -</w:t>
      </w:r>
      <w:r w:rsidR="00DA61F4" w:rsidRPr="009B404F">
        <w:rPr>
          <w:rFonts w:asciiTheme="majorHAnsi" w:hAnsiTheme="majorHAnsi" w:cstheme="majorHAnsi"/>
          <w:b/>
          <w:bCs/>
          <w:sz w:val="24"/>
          <w:szCs w:val="24"/>
          <w:lang w:val="es-ES"/>
        </w:rPr>
        <w:t xml:space="preserve"> </w:t>
      </w:r>
      <w:r w:rsidRPr="009B404F">
        <w:rPr>
          <w:rFonts w:asciiTheme="majorHAnsi" w:hAnsiTheme="majorHAnsi" w:cstheme="majorHAnsi"/>
          <w:b/>
          <w:bCs/>
          <w:sz w:val="24"/>
          <w:szCs w:val="24"/>
          <w:lang w:val="es-ES"/>
        </w:rPr>
        <w:t>PROYECCIÓN DE LAS ILEGALIDADES EN LA LIQUIDACIÓN IMPUGNADA</w:t>
      </w:r>
    </w:p>
    <w:p w14:paraId="6B814D2F" w14:textId="77777777" w:rsidR="00DE7066" w:rsidRPr="00DE7066" w:rsidRDefault="00DE7066" w:rsidP="00DE7066">
      <w:pPr>
        <w:jc w:val="both"/>
        <w:rPr>
          <w:rFonts w:asciiTheme="majorHAnsi" w:hAnsiTheme="majorHAnsi" w:cstheme="majorHAnsi"/>
          <w:sz w:val="24"/>
          <w:szCs w:val="24"/>
          <w:lang w:val="es-ES"/>
        </w:rPr>
      </w:pPr>
      <w:r w:rsidRPr="00DE7066">
        <w:rPr>
          <w:rFonts w:asciiTheme="majorHAnsi" w:hAnsiTheme="majorHAnsi" w:cstheme="majorHAnsi"/>
          <w:sz w:val="24"/>
          <w:szCs w:val="24"/>
          <w:lang w:val="es-ES"/>
        </w:rPr>
        <w:t>La liquidación debe ser anulada de pleno derecho por carecer de cobertura normativa suficiente, al derivar de una Ordenanza viciada, y por falta de motivación individual, ya que no se explica el cálculo de la cuota ni se justifica la imputación de residuos.</w:t>
      </w:r>
    </w:p>
    <w:p w14:paraId="5A7AFA16" w14:textId="77777777" w:rsidR="00DE7066" w:rsidRPr="00DE7066" w:rsidRDefault="00DE7066" w:rsidP="00DE7066">
      <w:pPr>
        <w:jc w:val="both"/>
        <w:rPr>
          <w:rFonts w:asciiTheme="majorHAnsi" w:hAnsiTheme="majorHAnsi" w:cstheme="majorHAnsi"/>
          <w:sz w:val="24"/>
          <w:szCs w:val="24"/>
          <w:lang w:val="es-ES"/>
        </w:rPr>
      </w:pPr>
      <w:r w:rsidRPr="00DE7066">
        <w:rPr>
          <w:rFonts w:asciiTheme="majorHAnsi" w:hAnsiTheme="majorHAnsi" w:cstheme="majorHAnsi"/>
          <w:sz w:val="24"/>
          <w:szCs w:val="24"/>
          <w:lang w:val="es-ES"/>
        </w:rPr>
        <w:t>Ello vulnera las exigencias de motivación de los actos administrativos y determina su invalidez.</w:t>
      </w:r>
    </w:p>
    <w:p w14:paraId="6D40F82B" w14:textId="6081F526" w:rsidR="00A75135" w:rsidRPr="009B404F" w:rsidRDefault="00436744" w:rsidP="00B11B19">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lastRenderedPageBreak/>
        <w:t xml:space="preserve">A tenor de lo anteriormente expuesto, </w:t>
      </w:r>
    </w:p>
    <w:p w14:paraId="7D1E1E52" w14:textId="1AC9819A" w:rsidR="00247E9C" w:rsidRPr="009B404F" w:rsidRDefault="00DE7066" w:rsidP="00247E9C">
      <w:pPr>
        <w:jc w:val="both"/>
        <w:rPr>
          <w:rFonts w:asciiTheme="majorHAnsi" w:hAnsiTheme="majorHAnsi" w:cstheme="majorHAnsi"/>
          <w:sz w:val="24"/>
          <w:szCs w:val="24"/>
          <w:lang w:val="es-ES"/>
        </w:rPr>
      </w:pPr>
      <w:r w:rsidRPr="009B404F">
        <w:rPr>
          <w:rFonts w:asciiTheme="majorHAnsi" w:hAnsiTheme="majorHAnsi" w:cstheme="majorHAnsi"/>
          <w:b/>
          <w:bCs/>
          <w:sz w:val="24"/>
          <w:szCs w:val="24"/>
          <w:lang w:val="es-ES"/>
        </w:rPr>
        <w:t>SUPLICO AL AYUNTAMIENTO DE TORRELODONES</w:t>
      </w:r>
      <w:r w:rsidR="00436744" w:rsidRPr="009B404F">
        <w:rPr>
          <w:rFonts w:asciiTheme="majorHAnsi" w:hAnsiTheme="majorHAnsi" w:cstheme="majorHAnsi"/>
          <w:b/>
          <w:bCs/>
          <w:sz w:val="24"/>
          <w:szCs w:val="24"/>
          <w:lang w:val="es-ES"/>
        </w:rPr>
        <w:t xml:space="preserve">: </w:t>
      </w:r>
      <w:r w:rsidR="00247E9C" w:rsidRPr="009B404F">
        <w:rPr>
          <w:rFonts w:asciiTheme="majorHAnsi" w:hAnsiTheme="majorHAnsi" w:cstheme="majorHAnsi"/>
          <w:sz w:val="24"/>
          <w:szCs w:val="24"/>
          <w:lang w:val="es-ES"/>
        </w:rPr>
        <w:t xml:space="preserve">Que tenga por presentado este escrito, junto con las copias que </w:t>
      </w:r>
      <w:r w:rsidR="00247E9C" w:rsidRPr="009B404F">
        <w:rPr>
          <w:rFonts w:asciiTheme="majorHAnsi" w:hAnsiTheme="majorHAnsi" w:cstheme="majorHAnsi"/>
          <w:sz w:val="24"/>
          <w:szCs w:val="24"/>
          <w:lang w:val="es-ES"/>
        </w:rPr>
        <w:t xml:space="preserve">al mismo </w:t>
      </w:r>
      <w:r w:rsidR="00247E9C" w:rsidRPr="009B404F">
        <w:rPr>
          <w:rFonts w:asciiTheme="majorHAnsi" w:hAnsiTheme="majorHAnsi" w:cstheme="majorHAnsi"/>
          <w:sz w:val="24"/>
          <w:szCs w:val="24"/>
          <w:lang w:val="es-ES"/>
        </w:rPr>
        <w:t xml:space="preserve">se acompañan, lo admita y, en su virtud, tenga por interpuesto en tiempo y forma </w:t>
      </w:r>
      <w:r w:rsidR="00247E9C" w:rsidRPr="009B404F">
        <w:rPr>
          <w:rFonts w:asciiTheme="majorHAnsi" w:hAnsiTheme="majorHAnsi" w:cstheme="majorHAnsi"/>
          <w:b/>
          <w:bCs/>
          <w:caps/>
          <w:sz w:val="24"/>
          <w:szCs w:val="24"/>
          <w:lang w:val="es-ES"/>
        </w:rPr>
        <w:t>recurso de reposición</w:t>
      </w:r>
      <w:r w:rsidR="00247E9C" w:rsidRPr="009B404F">
        <w:rPr>
          <w:rFonts w:asciiTheme="majorHAnsi" w:hAnsiTheme="majorHAnsi" w:cstheme="majorHAnsi"/>
          <w:sz w:val="24"/>
          <w:szCs w:val="24"/>
          <w:lang w:val="es-ES"/>
        </w:rPr>
        <w:t xml:space="preserve"> contra la notificación de la liquidación de la Tasa por la prestación del servicio de recogida y gestión de residuos sólidos urbanos, girada al amparo de la Ordenanza fiscal nº8, y, previos los trámites legales oportunos, dicte resolución estimatoria por la que se acuerde:</w:t>
      </w:r>
    </w:p>
    <w:p w14:paraId="077E219C" w14:textId="77777777" w:rsidR="00247E9C" w:rsidRPr="00247E9C" w:rsidRDefault="00247E9C" w:rsidP="00247E9C">
      <w:pPr>
        <w:numPr>
          <w:ilvl w:val="0"/>
          <w:numId w:val="30"/>
        </w:numPr>
        <w:jc w:val="both"/>
        <w:rPr>
          <w:rFonts w:asciiTheme="majorHAnsi" w:hAnsiTheme="majorHAnsi" w:cstheme="majorHAnsi"/>
          <w:sz w:val="24"/>
          <w:szCs w:val="24"/>
          <w:lang w:val="es-ES"/>
        </w:rPr>
      </w:pPr>
      <w:r w:rsidRPr="00247E9C">
        <w:rPr>
          <w:rFonts w:asciiTheme="majorHAnsi" w:hAnsiTheme="majorHAnsi" w:cstheme="majorHAnsi"/>
          <w:sz w:val="24"/>
          <w:szCs w:val="24"/>
          <w:lang w:val="es-ES"/>
        </w:rPr>
        <w:t xml:space="preserve">La nulidad de la Ordenanza fiscal reguladora de la tasa. </w:t>
      </w:r>
    </w:p>
    <w:p w14:paraId="0CDC0DDB" w14:textId="77777777" w:rsidR="00247E9C" w:rsidRPr="00247E9C" w:rsidRDefault="00247E9C" w:rsidP="00247E9C">
      <w:pPr>
        <w:numPr>
          <w:ilvl w:val="0"/>
          <w:numId w:val="30"/>
        </w:numPr>
        <w:jc w:val="both"/>
        <w:rPr>
          <w:rFonts w:asciiTheme="majorHAnsi" w:hAnsiTheme="majorHAnsi" w:cstheme="majorHAnsi"/>
          <w:sz w:val="24"/>
          <w:szCs w:val="24"/>
          <w:lang w:val="es-ES"/>
        </w:rPr>
      </w:pPr>
      <w:r w:rsidRPr="00247E9C">
        <w:rPr>
          <w:rFonts w:asciiTheme="majorHAnsi" w:hAnsiTheme="majorHAnsi" w:cstheme="majorHAnsi"/>
          <w:sz w:val="24"/>
          <w:szCs w:val="24"/>
          <w:lang w:val="es-ES"/>
        </w:rPr>
        <w:t xml:space="preserve">La anulación de la liquidación impugnada. </w:t>
      </w:r>
    </w:p>
    <w:p w14:paraId="710C362A" w14:textId="77777777" w:rsidR="00247E9C" w:rsidRPr="00247E9C" w:rsidRDefault="00247E9C" w:rsidP="00247E9C">
      <w:pPr>
        <w:numPr>
          <w:ilvl w:val="0"/>
          <w:numId w:val="30"/>
        </w:numPr>
        <w:jc w:val="both"/>
        <w:rPr>
          <w:rFonts w:asciiTheme="majorHAnsi" w:hAnsiTheme="majorHAnsi" w:cstheme="majorHAnsi"/>
          <w:sz w:val="24"/>
          <w:szCs w:val="24"/>
          <w:lang w:val="es-ES"/>
        </w:rPr>
      </w:pPr>
      <w:r w:rsidRPr="00247E9C">
        <w:rPr>
          <w:rFonts w:asciiTheme="majorHAnsi" w:hAnsiTheme="majorHAnsi" w:cstheme="majorHAnsi"/>
          <w:sz w:val="24"/>
          <w:szCs w:val="24"/>
          <w:lang w:val="es-ES"/>
        </w:rPr>
        <w:t>La devolución de las cantidades abonadas, con los intereses legales devengados.</w:t>
      </w:r>
    </w:p>
    <w:p w14:paraId="78225AE2" w14:textId="7C86DE84" w:rsidR="00A75135" w:rsidRPr="009B404F" w:rsidRDefault="00E11A78" w:rsidP="00247E9C">
      <w:pPr>
        <w:jc w:val="both"/>
        <w:rPr>
          <w:rFonts w:asciiTheme="majorHAnsi" w:hAnsiTheme="majorHAnsi" w:cstheme="majorHAnsi"/>
          <w:sz w:val="24"/>
          <w:szCs w:val="24"/>
          <w:lang w:val="es-ES"/>
        </w:rPr>
      </w:pPr>
      <w:r w:rsidRPr="009B404F">
        <w:rPr>
          <w:rFonts w:asciiTheme="majorHAnsi" w:hAnsiTheme="majorHAnsi" w:cstheme="majorHAnsi"/>
          <w:b/>
          <w:bCs/>
          <w:sz w:val="24"/>
          <w:szCs w:val="24"/>
          <w:lang w:val="es-ES"/>
        </w:rPr>
        <w:t>OTROSÍ DIGO</w:t>
      </w:r>
      <w:r w:rsidR="00C65008" w:rsidRPr="009B404F">
        <w:rPr>
          <w:rFonts w:asciiTheme="majorHAnsi" w:hAnsiTheme="majorHAnsi" w:cstheme="majorHAnsi"/>
          <w:b/>
          <w:bCs/>
          <w:sz w:val="24"/>
          <w:szCs w:val="24"/>
          <w:lang w:val="es-ES"/>
        </w:rPr>
        <w:t xml:space="preserve">: </w:t>
      </w:r>
      <w:r w:rsidRPr="009B404F">
        <w:rPr>
          <w:rFonts w:asciiTheme="majorHAnsi" w:hAnsiTheme="majorHAnsi" w:cstheme="majorHAnsi"/>
          <w:sz w:val="24"/>
          <w:szCs w:val="24"/>
          <w:lang w:val="es-ES"/>
        </w:rPr>
        <w:t>Que se deja expresa reserva del derecho a interponer recurso contencioso-administrativo, al amparo del artículo 24 CE, en caso de desestimación expresa o presunta del presente recurso.</w:t>
      </w:r>
    </w:p>
    <w:p w14:paraId="59058583" w14:textId="77777777" w:rsidR="00A75135" w:rsidRPr="009B404F" w:rsidRDefault="00A75135" w:rsidP="00B11B19">
      <w:pPr>
        <w:jc w:val="both"/>
        <w:rPr>
          <w:rFonts w:asciiTheme="majorHAnsi" w:hAnsiTheme="majorHAnsi" w:cstheme="majorHAnsi"/>
          <w:sz w:val="24"/>
          <w:szCs w:val="24"/>
          <w:lang w:val="es-ES"/>
        </w:rPr>
      </w:pPr>
    </w:p>
    <w:p w14:paraId="43DFE4B5" w14:textId="31F564CF" w:rsidR="00A75135" w:rsidRPr="009B404F" w:rsidRDefault="00E11A78" w:rsidP="00B11B19">
      <w:pPr>
        <w:jc w:val="both"/>
        <w:rPr>
          <w:rFonts w:asciiTheme="majorHAnsi" w:hAnsiTheme="majorHAnsi" w:cstheme="majorHAnsi"/>
          <w:sz w:val="24"/>
          <w:szCs w:val="24"/>
          <w:lang w:val="es-ES"/>
        </w:rPr>
      </w:pPr>
      <w:r w:rsidRPr="009B404F">
        <w:rPr>
          <w:rFonts w:asciiTheme="majorHAnsi" w:hAnsiTheme="majorHAnsi" w:cstheme="majorHAnsi"/>
          <w:sz w:val="24"/>
          <w:szCs w:val="24"/>
          <w:lang w:val="es-ES"/>
        </w:rPr>
        <w:t xml:space="preserve">Es justicia que pido en </w:t>
      </w:r>
      <w:r w:rsidR="00E92224" w:rsidRPr="009B404F">
        <w:rPr>
          <w:rFonts w:asciiTheme="majorHAnsi" w:hAnsiTheme="majorHAnsi" w:cstheme="majorHAnsi"/>
          <w:sz w:val="24"/>
          <w:szCs w:val="24"/>
          <w:lang w:val="es-ES"/>
        </w:rPr>
        <w:t>Torrelodon</w:t>
      </w:r>
      <w:r w:rsidRPr="009B404F">
        <w:rPr>
          <w:rFonts w:asciiTheme="majorHAnsi" w:hAnsiTheme="majorHAnsi" w:cstheme="majorHAnsi"/>
          <w:sz w:val="24"/>
          <w:szCs w:val="24"/>
          <w:lang w:val="es-ES"/>
        </w:rPr>
        <w:t>es, a ____ de __________ de 202</w:t>
      </w:r>
      <w:r w:rsidR="00E92224" w:rsidRPr="009B404F">
        <w:rPr>
          <w:rFonts w:asciiTheme="majorHAnsi" w:hAnsiTheme="majorHAnsi" w:cstheme="majorHAnsi"/>
          <w:sz w:val="24"/>
          <w:szCs w:val="24"/>
          <w:lang w:val="es-ES"/>
        </w:rPr>
        <w:t>6</w:t>
      </w:r>
      <w:r w:rsidRPr="009B404F">
        <w:rPr>
          <w:rFonts w:asciiTheme="majorHAnsi" w:hAnsiTheme="majorHAnsi" w:cstheme="majorHAnsi"/>
          <w:sz w:val="24"/>
          <w:szCs w:val="24"/>
          <w:lang w:val="es-ES"/>
        </w:rPr>
        <w:t>.</w:t>
      </w:r>
    </w:p>
    <w:p w14:paraId="7F55BFBA" w14:textId="77777777" w:rsidR="00A75135" w:rsidRPr="009B404F" w:rsidRDefault="00A75135" w:rsidP="00B11B19">
      <w:pPr>
        <w:jc w:val="both"/>
        <w:rPr>
          <w:rFonts w:asciiTheme="majorHAnsi" w:hAnsiTheme="majorHAnsi" w:cstheme="majorHAnsi"/>
          <w:sz w:val="24"/>
          <w:szCs w:val="24"/>
          <w:lang w:val="es-ES"/>
        </w:rPr>
      </w:pPr>
    </w:p>
    <w:p w14:paraId="17A949D2" w14:textId="338B67C1" w:rsidR="00A75135" w:rsidRPr="009B404F" w:rsidRDefault="00E11A78" w:rsidP="00B11B19">
      <w:pPr>
        <w:jc w:val="both"/>
        <w:rPr>
          <w:rFonts w:asciiTheme="majorHAnsi" w:hAnsiTheme="majorHAnsi" w:cstheme="majorHAnsi"/>
          <w:sz w:val="24"/>
          <w:szCs w:val="24"/>
        </w:rPr>
      </w:pPr>
      <w:r w:rsidRPr="009B404F">
        <w:rPr>
          <w:rFonts w:asciiTheme="majorHAnsi" w:hAnsiTheme="majorHAnsi" w:cstheme="majorHAnsi"/>
          <w:sz w:val="24"/>
          <w:szCs w:val="24"/>
        </w:rPr>
        <w:t xml:space="preserve">Fdo.: </w:t>
      </w:r>
      <w:r w:rsidR="003A098C" w:rsidRPr="009B404F">
        <w:rPr>
          <w:rFonts w:asciiTheme="majorHAnsi" w:hAnsiTheme="majorHAnsi" w:cstheme="majorHAnsi"/>
          <w:sz w:val="24"/>
          <w:szCs w:val="24"/>
        </w:rPr>
        <w:t>________________________</w:t>
      </w:r>
    </w:p>
    <w:sectPr w:rsidR="00A75135" w:rsidRPr="009B40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447370F"/>
    <w:multiLevelType w:val="multilevel"/>
    <w:tmpl w:val="1080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D0913"/>
    <w:multiLevelType w:val="multilevel"/>
    <w:tmpl w:val="961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06C76"/>
    <w:multiLevelType w:val="multilevel"/>
    <w:tmpl w:val="8C68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D42BF"/>
    <w:multiLevelType w:val="multilevel"/>
    <w:tmpl w:val="B8BC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96A50"/>
    <w:multiLevelType w:val="multilevel"/>
    <w:tmpl w:val="8122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07D02"/>
    <w:multiLevelType w:val="multilevel"/>
    <w:tmpl w:val="1146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B2755"/>
    <w:multiLevelType w:val="multilevel"/>
    <w:tmpl w:val="4530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C1639"/>
    <w:multiLevelType w:val="multilevel"/>
    <w:tmpl w:val="8A3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56CE4"/>
    <w:multiLevelType w:val="multilevel"/>
    <w:tmpl w:val="5C9A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A6EA4"/>
    <w:multiLevelType w:val="multilevel"/>
    <w:tmpl w:val="A122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55FBB"/>
    <w:multiLevelType w:val="multilevel"/>
    <w:tmpl w:val="C7D4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F5F69"/>
    <w:multiLevelType w:val="multilevel"/>
    <w:tmpl w:val="37D4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A4FFF"/>
    <w:multiLevelType w:val="multilevel"/>
    <w:tmpl w:val="52C6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5356F"/>
    <w:multiLevelType w:val="multilevel"/>
    <w:tmpl w:val="4738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67324"/>
    <w:multiLevelType w:val="multilevel"/>
    <w:tmpl w:val="1DC43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119D6"/>
    <w:multiLevelType w:val="multilevel"/>
    <w:tmpl w:val="DD1C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2390A"/>
    <w:multiLevelType w:val="multilevel"/>
    <w:tmpl w:val="064E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C0EA1"/>
    <w:multiLevelType w:val="multilevel"/>
    <w:tmpl w:val="BAD2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F3120"/>
    <w:multiLevelType w:val="multilevel"/>
    <w:tmpl w:val="A100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00590"/>
    <w:multiLevelType w:val="multilevel"/>
    <w:tmpl w:val="4692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CB12AA"/>
    <w:multiLevelType w:val="multilevel"/>
    <w:tmpl w:val="5158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384293">
    <w:abstractNumId w:val="8"/>
  </w:num>
  <w:num w:numId="2" w16cid:durableId="170416394">
    <w:abstractNumId w:val="6"/>
  </w:num>
  <w:num w:numId="3" w16cid:durableId="747730369">
    <w:abstractNumId w:val="5"/>
  </w:num>
  <w:num w:numId="4" w16cid:durableId="73404078">
    <w:abstractNumId w:val="4"/>
  </w:num>
  <w:num w:numId="5" w16cid:durableId="1937246350">
    <w:abstractNumId w:val="7"/>
  </w:num>
  <w:num w:numId="6" w16cid:durableId="687560845">
    <w:abstractNumId w:val="3"/>
  </w:num>
  <w:num w:numId="7" w16cid:durableId="1152211569">
    <w:abstractNumId w:val="2"/>
  </w:num>
  <w:num w:numId="8" w16cid:durableId="1792824527">
    <w:abstractNumId w:val="1"/>
  </w:num>
  <w:num w:numId="9" w16cid:durableId="1600335458">
    <w:abstractNumId w:val="0"/>
  </w:num>
  <w:num w:numId="10" w16cid:durableId="1100641290">
    <w:abstractNumId w:val="18"/>
  </w:num>
  <w:num w:numId="11" w16cid:durableId="779640449">
    <w:abstractNumId w:val="29"/>
  </w:num>
  <w:num w:numId="12" w16cid:durableId="1554849728">
    <w:abstractNumId w:val="22"/>
  </w:num>
  <w:num w:numId="13" w16cid:durableId="1108084134">
    <w:abstractNumId w:val="16"/>
  </w:num>
  <w:num w:numId="14" w16cid:durableId="1578250808">
    <w:abstractNumId w:val="24"/>
  </w:num>
  <w:num w:numId="15" w16cid:durableId="872036279">
    <w:abstractNumId w:val="19"/>
  </w:num>
  <w:num w:numId="16" w16cid:durableId="115108025">
    <w:abstractNumId w:val="14"/>
  </w:num>
  <w:num w:numId="17" w16cid:durableId="959844370">
    <w:abstractNumId w:val="20"/>
  </w:num>
  <w:num w:numId="18" w16cid:durableId="2137870382">
    <w:abstractNumId w:val="17"/>
  </w:num>
  <w:num w:numId="19" w16cid:durableId="1895046851">
    <w:abstractNumId w:val="13"/>
  </w:num>
  <w:num w:numId="20" w16cid:durableId="863635314">
    <w:abstractNumId w:val="27"/>
  </w:num>
  <w:num w:numId="21" w16cid:durableId="232741814">
    <w:abstractNumId w:val="25"/>
  </w:num>
  <w:num w:numId="22" w16cid:durableId="1139153338">
    <w:abstractNumId w:val="11"/>
  </w:num>
  <w:num w:numId="23" w16cid:durableId="1597061100">
    <w:abstractNumId w:val="15"/>
  </w:num>
  <w:num w:numId="24" w16cid:durableId="1682775212">
    <w:abstractNumId w:val="12"/>
  </w:num>
  <w:num w:numId="25" w16cid:durableId="1293244657">
    <w:abstractNumId w:val="10"/>
  </w:num>
  <w:num w:numId="26" w16cid:durableId="982658239">
    <w:abstractNumId w:val="26"/>
  </w:num>
  <w:num w:numId="27" w16cid:durableId="935409801">
    <w:abstractNumId w:val="21"/>
  </w:num>
  <w:num w:numId="28" w16cid:durableId="1748111170">
    <w:abstractNumId w:val="28"/>
  </w:num>
  <w:num w:numId="29" w16cid:durableId="1907832856">
    <w:abstractNumId w:val="9"/>
  </w:num>
  <w:num w:numId="30" w16cid:durableId="16083857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E3B"/>
    <w:rsid w:val="00034616"/>
    <w:rsid w:val="00036489"/>
    <w:rsid w:val="000434CA"/>
    <w:rsid w:val="000466C4"/>
    <w:rsid w:val="0006063C"/>
    <w:rsid w:val="00075F7A"/>
    <w:rsid w:val="000A2359"/>
    <w:rsid w:val="0015074B"/>
    <w:rsid w:val="00170A2D"/>
    <w:rsid w:val="001D7B66"/>
    <w:rsid w:val="001F4E7C"/>
    <w:rsid w:val="002002B3"/>
    <w:rsid w:val="00233BD5"/>
    <w:rsid w:val="002350B7"/>
    <w:rsid w:val="00247E9C"/>
    <w:rsid w:val="0029639D"/>
    <w:rsid w:val="002A7698"/>
    <w:rsid w:val="00304427"/>
    <w:rsid w:val="003207D2"/>
    <w:rsid w:val="00326F90"/>
    <w:rsid w:val="003308E4"/>
    <w:rsid w:val="00360F32"/>
    <w:rsid w:val="00365692"/>
    <w:rsid w:val="003A098C"/>
    <w:rsid w:val="00400FBA"/>
    <w:rsid w:val="004108AB"/>
    <w:rsid w:val="00432FB8"/>
    <w:rsid w:val="00436744"/>
    <w:rsid w:val="00482549"/>
    <w:rsid w:val="004F0364"/>
    <w:rsid w:val="004F752A"/>
    <w:rsid w:val="0050374C"/>
    <w:rsid w:val="00534690"/>
    <w:rsid w:val="00575708"/>
    <w:rsid w:val="005B11B3"/>
    <w:rsid w:val="0063598F"/>
    <w:rsid w:val="0065349A"/>
    <w:rsid w:val="00690233"/>
    <w:rsid w:val="00697280"/>
    <w:rsid w:val="006D1F6D"/>
    <w:rsid w:val="006F6FB2"/>
    <w:rsid w:val="007104D0"/>
    <w:rsid w:val="0071055F"/>
    <w:rsid w:val="007567A8"/>
    <w:rsid w:val="00757DDA"/>
    <w:rsid w:val="007A25AD"/>
    <w:rsid w:val="0083393D"/>
    <w:rsid w:val="00835053"/>
    <w:rsid w:val="00873154"/>
    <w:rsid w:val="00875307"/>
    <w:rsid w:val="00895E92"/>
    <w:rsid w:val="008B0C11"/>
    <w:rsid w:val="008B564A"/>
    <w:rsid w:val="008C343D"/>
    <w:rsid w:val="008C618E"/>
    <w:rsid w:val="009246CA"/>
    <w:rsid w:val="00963F42"/>
    <w:rsid w:val="009B3275"/>
    <w:rsid w:val="009B404F"/>
    <w:rsid w:val="009D1BC9"/>
    <w:rsid w:val="009F0A3D"/>
    <w:rsid w:val="00A5238A"/>
    <w:rsid w:val="00A60B74"/>
    <w:rsid w:val="00A7066B"/>
    <w:rsid w:val="00A70998"/>
    <w:rsid w:val="00A75135"/>
    <w:rsid w:val="00AA1D8D"/>
    <w:rsid w:val="00AE0E0A"/>
    <w:rsid w:val="00B03354"/>
    <w:rsid w:val="00B11B19"/>
    <w:rsid w:val="00B23839"/>
    <w:rsid w:val="00B30994"/>
    <w:rsid w:val="00B34FFB"/>
    <w:rsid w:val="00B47730"/>
    <w:rsid w:val="00B71623"/>
    <w:rsid w:val="00B81D0D"/>
    <w:rsid w:val="00C440D6"/>
    <w:rsid w:val="00C65008"/>
    <w:rsid w:val="00C90AA8"/>
    <w:rsid w:val="00CA1834"/>
    <w:rsid w:val="00CB0664"/>
    <w:rsid w:val="00CB08A1"/>
    <w:rsid w:val="00CD5276"/>
    <w:rsid w:val="00CE35B0"/>
    <w:rsid w:val="00CE6A48"/>
    <w:rsid w:val="00CF409D"/>
    <w:rsid w:val="00DA61F4"/>
    <w:rsid w:val="00DC22A8"/>
    <w:rsid w:val="00DE7066"/>
    <w:rsid w:val="00DE715C"/>
    <w:rsid w:val="00DF0B4B"/>
    <w:rsid w:val="00E11A78"/>
    <w:rsid w:val="00E21787"/>
    <w:rsid w:val="00E221A1"/>
    <w:rsid w:val="00E428EC"/>
    <w:rsid w:val="00E604AA"/>
    <w:rsid w:val="00E92224"/>
    <w:rsid w:val="00EA019C"/>
    <w:rsid w:val="00EB1C59"/>
    <w:rsid w:val="00ED7872"/>
    <w:rsid w:val="00F07EB8"/>
    <w:rsid w:val="00F120BC"/>
    <w:rsid w:val="00F17A1C"/>
    <w:rsid w:val="00F25536"/>
    <w:rsid w:val="00F77FA3"/>
    <w:rsid w:val="00F87F81"/>
    <w:rsid w:val="00F974B3"/>
    <w:rsid w:val="00FC20D7"/>
    <w:rsid w:val="00FC5062"/>
    <w:rsid w:val="00FC693F"/>
    <w:rsid w:val="00FE5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99708"/>
  <w14:defaultImageDpi w14:val="300"/>
  <w15:docId w15:val="{1D7B5FB9-4A4D-430C-9723-C8193D7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47E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1153</Words>
  <Characters>6344</Characters>
  <Application>Microsoft Office Word</Application>
  <DocSecurity>0</DocSecurity>
  <Lines>109</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Alejandro Somolinos Picón</cp:lastModifiedBy>
  <cp:revision>19</cp:revision>
  <dcterms:created xsi:type="dcterms:W3CDTF">2026-04-09T16:53:00Z</dcterms:created>
  <dcterms:modified xsi:type="dcterms:W3CDTF">2026-04-09T17:06:00Z</dcterms:modified>
  <cp:category/>
</cp:coreProperties>
</file>